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EA" w:rsidRDefault="00857439">
      <w:pPr>
        <w:pageBreakBefore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/>
          <w:b/>
          <w:bCs/>
          <w:sz w:val="30"/>
          <w:szCs w:val="30"/>
        </w:rPr>
        <w:t>2</w:t>
      </w:r>
    </w:p>
    <w:p w:rsidR="004430EA" w:rsidRDefault="00857439">
      <w:pPr>
        <w:widowControl/>
        <w:spacing w:before="240"/>
        <w:jc w:val="center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6"/>
          <w:szCs w:val="36"/>
        </w:rPr>
        <w:t xml:space="preserve">      </w:t>
      </w:r>
      <w:r>
        <w:rPr>
          <w:rFonts w:ascii="黑体" w:eastAsia="黑体" w:hAnsi="黑体" w:hint="eastAsia"/>
          <w:sz w:val="36"/>
          <w:szCs w:val="36"/>
        </w:rPr>
        <w:t>医药组</w:t>
      </w:r>
      <w:r>
        <w:rPr>
          <w:rFonts w:ascii="黑体" w:eastAsia="黑体" w:hAnsi="黑体"/>
          <w:sz w:val="36"/>
          <w:szCs w:val="36"/>
        </w:rPr>
        <w:t>、非医药</w:t>
      </w:r>
      <w:proofErr w:type="gramStart"/>
      <w:r>
        <w:rPr>
          <w:rFonts w:ascii="黑体" w:eastAsia="黑体" w:hAnsi="黑体"/>
          <w:sz w:val="36"/>
          <w:szCs w:val="36"/>
        </w:rPr>
        <w:t>组</w:t>
      </w:r>
      <w:r>
        <w:rPr>
          <w:rFonts w:ascii="黑体" w:eastAsia="黑体" w:hAnsi="黑体" w:hint="eastAsia"/>
          <w:sz w:val="36"/>
          <w:szCs w:val="44"/>
        </w:rPr>
        <w:t>教学</w:t>
      </w:r>
      <w:proofErr w:type="gramEnd"/>
      <w:r>
        <w:rPr>
          <w:rFonts w:ascii="黑体" w:eastAsia="黑体" w:hAnsi="黑体" w:hint="eastAsia"/>
          <w:sz w:val="36"/>
          <w:szCs w:val="44"/>
        </w:rPr>
        <w:t>设计评分细则</w:t>
      </w:r>
    </w:p>
    <w:tbl>
      <w:tblPr>
        <w:tblW w:w="885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6379"/>
        <w:gridCol w:w="1041"/>
      </w:tblGrid>
      <w:tr w:rsidR="004430EA">
        <w:trPr>
          <w:trHeight w:val="585"/>
        </w:trPr>
        <w:tc>
          <w:tcPr>
            <w:tcW w:w="1432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评审指标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1041" w:type="dxa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4430EA">
        <w:trPr>
          <w:trHeight w:val="675"/>
        </w:trPr>
        <w:tc>
          <w:tcPr>
            <w:tcW w:w="1432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430EA" w:rsidRDefault="00857439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根据专业人才培养目标和课程性质，按照教学大纲要求的教学内容，能够从知识、技能、学习态度与价值观三方面设定教学目标，教学目标明确，教学目标与课程目标相一致。</w:t>
            </w:r>
          </w:p>
        </w:tc>
        <w:tc>
          <w:tcPr>
            <w:tcW w:w="1041" w:type="dxa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430EA">
        <w:trPr>
          <w:trHeight w:val="450"/>
        </w:trPr>
        <w:tc>
          <w:tcPr>
            <w:tcW w:w="1432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教学重点明确，教学难点清晰，教学内容具有科学性、前沿性和拓展性，体现课程思政，教学信息量充足。</w:t>
            </w:r>
          </w:p>
        </w:tc>
        <w:tc>
          <w:tcPr>
            <w:tcW w:w="1041" w:type="dxa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4430EA">
        <w:trPr>
          <w:trHeight w:val="645"/>
        </w:trPr>
        <w:tc>
          <w:tcPr>
            <w:tcW w:w="1432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情分析及教学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430EA" w:rsidRDefault="00857439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根据学生的智力因素和非智力因素进行学情分析，准确把握学生的认知特征、情感态度和信息技术应用能力，正确做出教与学预测的方案。</w:t>
            </w:r>
          </w:p>
        </w:tc>
        <w:tc>
          <w:tcPr>
            <w:tcW w:w="1041" w:type="dxa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430EA">
        <w:trPr>
          <w:trHeight w:val="1020"/>
        </w:trPr>
        <w:tc>
          <w:tcPr>
            <w:tcW w:w="1432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教学策略与方法选择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430EA" w:rsidRDefault="00857439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坚持以学生为中心的思想理念，根据中医药学或相关学科特点、教学内容和学生学习特征进行教学策略选择；遵循学生的认知规律选择恰当的教学方式方法与手段；教学过程结构类型与所选择的教学方法配套，教学过程结构自然流畅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组织合理。</w:t>
            </w:r>
          </w:p>
        </w:tc>
        <w:tc>
          <w:tcPr>
            <w:tcW w:w="1041" w:type="dxa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430EA">
        <w:trPr>
          <w:trHeight w:val="375"/>
        </w:trPr>
        <w:tc>
          <w:tcPr>
            <w:tcW w:w="1432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学习资源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430EA" w:rsidRDefault="00857439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根据教学内容选择学习资源，针对性强，材料丰富多样，有利于拓展学生自主学习空间。</w:t>
            </w:r>
          </w:p>
        </w:tc>
        <w:tc>
          <w:tcPr>
            <w:tcW w:w="1041" w:type="dxa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4430EA">
        <w:trPr>
          <w:trHeight w:val="312"/>
        </w:trPr>
        <w:tc>
          <w:tcPr>
            <w:tcW w:w="1432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课堂教学与媒体教学的结合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430EA" w:rsidRDefault="00857439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课堂教学过程完整，层级有序，课堂教学与媒体教学有机结合，传统板书与现代板书相辅相成。</w:t>
            </w:r>
          </w:p>
        </w:tc>
        <w:tc>
          <w:tcPr>
            <w:tcW w:w="1041" w:type="dxa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4430EA">
        <w:trPr>
          <w:trHeight w:val="312"/>
        </w:trPr>
        <w:tc>
          <w:tcPr>
            <w:tcW w:w="1432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教学互动环节设计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430EA" w:rsidRDefault="00857439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根据课程目标开展形式多样的教学互动环节设计，师生互动和生生互动、课上和课下互动能够紧密联系教学内容。</w:t>
            </w:r>
          </w:p>
        </w:tc>
        <w:tc>
          <w:tcPr>
            <w:tcW w:w="1041" w:type="dxa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430EA">
        <w:trPr>
          <w:trHeight w:val="435"/>
        </w:trPr>
        <w:tc>
          <w:tcPr>
            <w:tcW w:w="1432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课外自主学习设计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430EA" w:rsidRDefault="00857439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指导学生科学设计自主学习计划，能够为学生搭建课外学习平台，引导学生进行自主学习和自主评价。</w:t>
            </w:r>
          </w:p>
        </w:tc>
        <w:tc>
          <w:tcPr>
            <w:tcW w:w="1041" w:type="dxa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4430EA">
        <w:trPr>
          <w:trHeight w:val="465"/>
        </w:trPr>
        <w:tc>
          <w:tcPr>
            <w:tcW w:w="1432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教学测量与评价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430EA" w:rsidRDefault="00857439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在课堂教学过程中积极开展形式多样的教学测量，实施自评、他评和互评。</w:t>
            </w:r>
          </w:p>
        </w:tc>
        <w:tc>
          <w:tcPr>
            <w:tcW w:w="1041" w:type="dxa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4430EA">
        <w:trPr>
          <w:trHeight w:val="510"/>
        </w:trPr>
        <w:tc>
          <w:tcPr>
            <w:tcW w:w="1432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教学反思与改进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430EA" w:rsidRDefault="00857439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教学过程中坚持问题导向，积极反思教学内容和教学方式方法，并做到适时调整。</w:t>
            </w:r>
          </w:p>
        </w:tc>
        <w:tc>
          <w:tcPr>
            <w:tcW w:w="1041" w:type="dxa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4430EA">
        <w:trPr>
          <w:trHeight w:val="570"/>
        </w:trPr>
        <w:tc>
          <w:tcPr>
            <w:tcW w:w="1432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创新思维培养意识的体现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430EA" w:rsidRDefault="00857439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在教学过程中设计培养学生创新思维的环节和内容。</w:t>
            </w:r>
          </w:p>
        </w:tc>
        <w:tc>
          <w:tcPr>
            <w:tcW w:w="1041" w:type="dxa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4430EA">
        <w:trPr>
          <w:trHeight w:val="570"/>
        </w:trPr>
        <w:tc>
          <w:tcPr>
            <w:tcW w:w="1432" w:type="dxa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430EA" w:rsidRDefault="004430EA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:rsidR="004430EA" w:rsidRDefault="0085743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4430EA">
        <w:trPr>
          <w:trHeight w:val="658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4430EA" w:rsidRDefault="0085743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减分项目</w:t>
            </w:r>
          </w:p>
        </w:tc>
        <w:tc>
          <w:tcPr>
            <w:tcW w:w="7420" w:type="dxa"/>
            <w:gridSpan w:val="2"/>
            <w:vAlign w:val="center"/>
          </w:tcPr>
          <w:p w:rsidR="004430EA" w:rsidRDefault="00857439">
            <w:pPr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未提交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5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个完整小节教学设计，由评审组长从该环节平均分中扣分，每小节扣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4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分。</w:t>
            </w:r>
          </w:p>
        </w:tc>
      </w:tr>
      <w:tr w:rsidR="004430EA">
        <w:trPr>
          <w:trHeight w:val="544"/>
        </w:trPr>
        <w:tc>
          <w:tcPr>
            <w:tcW w:w="1432" w:type="dxa"/>
            <w:vMerge/>
            <w:vAlign w:val="center"/>
          </w:tcPr>
          <w:p w:rsidR="004430EA" w:rsidRDefault="004430E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vAlign w:val="center"/>
          </w:tcPr>
          <w:p w:rsidR="004430EA" w:rsidRDefault="00857439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选手在比赛过程中泄露个人信息，由评审组长从该环节平均分中扣除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30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分。</w:t>
            </w:r>
          </w:p>
        </w:tc>
      </w:tr>
      <w:tr w:rsidR="004430EA">
        <w:trPr>
          <w:trHeight w:val="855"/>
        </w:trPr>
        <w:tc>
          <w:tcPr>
            <w:tcW w:w="1432" w:type="dxa"/>
            <w:vMerge/>
            <w:vAlign w:val="center"/>
          </w:tcPr>
          <w:p w:rsidR="004430EA" w:rsidRDefault="004430EA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vAlign w:val="center"/>
          </w:tcPr>
          <w:p w:rsidR="004430EA" w:rsidRDefault="00857439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提交的教学设计与上报名称不符，由评审组长从该环节平均分中扣分，每小节扣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2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分。</w:t>
            </w:r>
          </w:p>
        </w:tc>
      </w:tr>
    </w:tbl>
    <w:p w:rsidR="004430EA" w:rsidRDefault="00857439">
      <w:pPr>
        <w:pageBreakBefore/>
        <w:rPr>
          <w:rFonts w:ascii="仿宋_GB2312" w:eastAsia="仿宋_GB2312" w:hAnsi="仿宋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例</w:t>
      </w:r>
    </w:p>
    <w:p w:rsidR="004430EA" w:rsidRDefault="00857439">
      <w:pPr>
        <w:jc w:val="righ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/>
          <w:b/>
          <w:bCs/>
          <w:sz w:val="30"/>
          <w:szCs w:val="30"/>
        </w:rPr>
        <w:fldChar w:fldCharType="begin"/>
      </w:r>
      <w:r>
        <w:rPr>
          <w:rFonts w:ascii="仿宋" w:eastAsia="仿宋" w:hAnsi="仿宋"/>
          <w:b/>
          <w:bCs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b/>
          <w:bCs/>
          <w:sz w:val="30"/>
          <w:szCs w:val="30"/>
        </w:rPr>
        <w:instrText>eq \o\ac(</w:instrText>
      </w:r>
      <w:r>
        <w:rPr>
          <w:rFonts w:ascii="仿宋" w:eastAsia="仿宋" w:hAnsi="仿宋" w:hint="eastAsia"/>
          <w:b/>
          <w:bCs/>
          <w:position w:val="-6"/>
          <w:sz w:val="45"/>
          <w:szCs w:val="30"/>
        </w:rPr>
        <w:instrText>○</w:instrText>
      </w:r>
      <w:r>
        <w:rPr>
          <w:rFonts w:ascii="仿宋" w:eastAsia="仿宋" w:hAnsi="仿宋" w:hint="eastAsia"/>
          <w:b/>
          <w:bCs/>
          <w:sz w:val="30"/>
          <w:szCs w:val="30"/>
        </w:rPr>
        <w:instrText>,1)</w:instrText>
      </w:r>
      <w:r>
        <w:rPr>
          <w:rFonts w:ascii="仿宋" w:eastAsia="仿宋" w:hAnsi="仿宋"/>
          <w:b/>
          <w:bCs/>
          <w:sz w:val="30"/>
          <w:szCs w:val="30"/>
        </w:rPr>
        <w:fldChar w:fldCharType="end"/>
      </w:r>
    </w:p>
    <w:p w:rsidR="004430EA" w:rsidRDefault="004430EA"/>
    <w:p w:rsidR="004430EA" w:rsidRDefault="00857439">
      <w:pPr>
        <w:ind w:leftChars="1012" w:left="2125" w:right="640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参赛组别：医药组</w:t>
      </w:r>
    </w:p>
    <w:p w:rsidR="004430EA" w:rsidRDefault="00857439">
      <w:pPr>
        <w:ind w:leftChars="1012" w:left="2125" w:right="640"/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抽签序号：</w:t>
      </w:r>
      <w:r>
        <w:rPr>
          <w:rFonts w:ascii="黑体" w:eastAsia="黑体" w:hAnsi="黑体" w:hint="eastAsia"/>
          <w:color w:val="FFFFFF" w:themeColor="background1"/>
          <w:sz w:val="32"/>
          <w:szCs w:val="32"/>
        </w:rPr>
        <w:t>医药组</w:t>
      </w:r>
    </w:p>
    <w:p w:rsidR="004430EA" w:rsidRDefault="004430EA"/>
    <w:p w:rsidR="004430EA" w:rsidRDefault="004430EA"/>
    <w:p w:rsidR="004430EA" w:rsidRDefault="004430EA"/>
    <w:p w:rsidR="004430EA" w:rsidRDefault="004430EA"/>
    <w:p w:rsidR="004430EA" w:rsidRDefault="00857439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教学设计</w:t>
      </w:r>
    </w:p>
    <w:p w:rsidR="004430EA" w:rsidRDefault="0085743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（完整版）</w:t>
      </w:r>
    </w:p>
    <w:p w:rsidR="004430EA" w:rsidRDefault="004430EA"/>
    <w:p w:rsidR="004430EA" w:rsidRDefault="004430EA">
      <w:bookmarkStart w:id="0" w:name="_GoBack"/>
      <w:bookmarkEnd w:id="0"/>
    </w:p>
    <w:p w:rsidR="004430EA" w:rsidRDefault="004430EA"/>
    <w:p w:rsidR="004430EA" w:rsidRDefault="004430EA"/>
    <w:p w:rsidR="004430EA" w:rsidRDefault="004430EA"/>
    <w:p w:rsidR="004430EA" w:rsidRDefault="00857439">
      <w:pPr>
        <w:ind w:leftChars="1012" w:left="212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讲授课程：推拿学</w:t>
      </w:r>
    </w:p>
    <w:p w:rsidR="004430EA" w:rsidRDefault="00857439">
      <w:pPr>
        <w:ind w:leftChars="1012" w:left="212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课程类别</w:t>
      </w:r>
      <w:r>
        <w:rPr>
          <w:rFonts w:ascii="黑体" w:eastAsia="黑体" w:hAnsi="黑体" w:hint="eastAsia"/>
          <w:sz w:val="32"/>
          <w:szCs w:val="32"/>
        </w:rPr>
        <w:t>：限选课</w:t>
      </w:r>
    </w:p>
    <w:p w:rsidR="004430EA" w:rsidRDefault="00857439">
      <w:pPr>
        <w:ind w:leftChars="1012" w:left="212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学时学分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</w:rPr>
        <w:t>5</w:t>
      </w:r>
      <w:r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/>
          <w:sz w:val="32"/>
          <w:szCs w:val="32"/>
        </w:rPr>
        <w:t>学时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学分</w:t>
      </w:r>
    </w:p>
    <w:p w:rsidR="004430EA" w:rsidRDefault="00857439">
      <w:pPr>
        <w:ind w:leftChars="1012" w:left="212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适用专业：中医学</w:t>
      </w:r>
    </w:p>
    <w:p w:rsidR="004430EA" w:rsidRDefault="00857439">
      <w:pPr>
        <w:ind w:leftChars="1012" w:left="2125"/>
        <w:rPr>
          <w:rFonts w:ascii="黑体" w:eastAsia="黑体" w:hAnsi="黑体"/>
          <w:sz w:val="36"/>
          <w:szCs w:val="44"/>
        </w:rPr>
      </w:pPr>
      <w:r>
        <w:rPr>
          <w:rFonts w:ascii="黑体" w:eastAsia="黑体" w:hAnsi="黑体" w:hint="eastAsia"/>
          <w:sz w:val="32"/>
          <w:szCs w:val="32"/>
        </w:rPr>
        <w:t>讲授章节：伤科疾病</w:t>
      </w:r>
    </w:p>
    <w:p w:rsidR="004430EA" w:rsidRDefault="004430EA"/>
    <w:sectPr w:rsidR="00443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71" w:rsidRDefault="006D1271" w:rsidP="006D1271">
      <w:r>
        <w:separator/>
      </w:r>
    </w:p>
  </w:endnote>
  <w:endnote w:type="continuationSeparator" w:id="0">
    <w:p w:rsidR="006D1271" w:rsidRDefault="006D1271" w:rsidP="006D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71" w:rsidRDefault="006D12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71" w:rsidRDefault="006D127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71" w:rsidRDefault="006D12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71" w:rsidRDefault="006D1271" w:rsidP="006D1271">
      <w:r>
        <w:separator/>
      </w:r>
    </w:p>
  </w:footnote>
  <w:footnote w:type="continuationSeparator" w:id="0">
    <w:p w:rsidR="006D1271" w:rsidRDefault="006D1271" w:rsidP="006D1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71" w:rsidRDefault="006D12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71" w:rsidRDefault="006D1271" w:rsidP="006D1271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71" w:rsidRDefault="006D12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2A"/>
    <w:rsid w:val="00182250"/>
    <w:rsid w:val="001B6A49"/>
    <w:rsid w:val="001C4E2A"/>
    <w:rsid w:val="001F7989"/>
    <w:rsid w:val="004430EA"/>
    <w:rsid w:val="0046115D"/>
    <w:rsid w:val="00661177"/>
    <w:rsid w:val="006D1271"/>
    <w:rsid w:val="00746766"/>
    <w:rsid w:val="00857439"/>
    <w:rsid w:val="009C4A8A"/>
    <w:rsid w:val="00B47EB7"/>
    <w:rsid w:val="00BE59AA"/>
    <w:rsid w:val="745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872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Thinkpad</cp:lastModifiedBy>
  <cp:revision>9</cp:revision>
  <cp:lastPrinted>2021-04-29T08:47:00Z</cp:lastPrinted>
  <dcterms:created xsi:type="dcterms:W3CDTF">2021-04-29T08:08:00Z</dcterms:created>
  <dcterms:modified xsi:type="dcterms:W3CDTF">2021-05-04T13:30:00Z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2F9FE47240934ABE8F8D8CB527B7781B</vt:lpwstr>
  </property>
</Properties>
</file>