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rPr>
        <w:drawing>
          <wp:anchor distT="0" distB="0" distL="114300" distR="114300" simplePos="0" relativeHeight="251660288" behindDoc="0" locked="0" layoutInCell="1" allowOverlap="1">
            <wp:simplePos x="0" y="0"/>
            <wp:positionH relativeFrom="column">
              <wp:posOffset>673100</wp:posOffset>
            </wp:positionH>
            <wp:positionV relativeFrom="paragraph">
              <wp:posOffset>80010</wp:posOffset>
            </wp:positionV>
            <wp:extent cx="1714500" cy="171450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anchor>
        </w:drawing>
      </w:r>
      <w:r>
        <w:rPr>
          <w:rFonts w:hint="eastAsia"/>
        </w:rPr>
        <w:drawing>
          <wp:anchor distT="0" distB="0" distL="114300" distR="114300" simplePos="0" relativeHeight="251659264" behindDoc="0" locked="0" layoutInCell="1" allowOverlap="1">
            <wp:simplePos x="0" y="0"/>
            <wp:positionH relativeFrom="margin">
              <wp:posOffset>3115310</wp:posOffset>
            </wp:positionH>
            <wp:positionV relativeFrom="paragraph">
              <wp:posOffset>456565</wp:posOffset>
            </wp:positionV>
            <wp:extent cx="1082040" cy="1091565"/>
            <wp:effectExtent l="0" t="0" r="381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2040" cy="1091565"/>
                    </a:xfrm>
                    <a:prstGeom prst="rect">
                      <a:avLst/>
                    </a:prstGeom>
                  </pic:spPr>
                </pic:pic>
              </a:graphicData>
            </a:graphic>
          </wp:anchor>
        </w:drawing>
      </w:r>
      <w:r>
        <w:rPr>
          <w:rFonts w:hint="eastAsia"/>
        </w:rPr>
        <w:t xml:space="preserve"> </w:t>
      </w:r>
      <w:r>
        <w:t xml:space="preserve">               </w:t>
      </w:r>
      <w:r>
        <w:drawing>
          <wp:inline distT="0" distB="0" distL="0" distR="0">
            <wp:extent cx="3810000" cy="1181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l="31465" t="36028" r="9734" b="36074"/>
                    <a:stretch>
                      <a:fillRect/>
                    </a:stretch>
                  </pic:blipFill>
                  <pic:spPr>
                    <a:xfrm>
                      <a:off x="0" y="0"/>
                      <a:ext cx="3819977" cy="1184193"/>
                    </a:xfrm>
                    <a:prstGeom prst="rect">
                      <a:avLst/>
                    </a:prstGeom>
                    <a:noFill/>
                    <a:ln>
                      <a:noFill/>
                    </a:ln>
                  </pic:spPr>
                </pic:pic>
              </a:graphicData>
            </a:graphic>
          </wp:inline>
        </w:drawing>
      </w:r>
    </w:p>
    <w:p>
      <w:pPr>
        <w:ind w:left="7871" w:hanging="7848" w:hangingChars="1400"/>
        <w:jc w:val="center"/>
        <w:rPr>
          <w:rFonts w:ascii="宋体" w:hAnsi="宋体" w:cs="宋体"/>
          <w:b/>
          <w:bCs/>
          <w:sz w:val="56"/>
          <w:szCs w:val="56"/>
        </w:rPr>
      </w:pPr>
      <w:bookmarkStart w:id="0" w:name="_Hlk47534482"/>
      <w:bookmarkEnd w:id="0"/>
      <w:bookmarkStart w:id="1" w:name="_Hlk47534535"/>
      <w:bookmarkEnd w:id="1"/>
      <w:bookmarkStart w:id="2" w:name="_Hlk72251484"/>
      <w:r>
        <w:rPr>
          <w:rFonts w:hint="eastAsia" w:ascii="宋体" w:hAnsi="宋体" w:cs="宋体"/>
          <w:b/>
          <w:bCs/>
          <w:sz w:val="56"/>
          <w:szCs w:val="56"/>
        </w:rPr>
        <w:t>杏林学子，益路同行</w:t>
      </w:r>
    </w:p>
    <w:p>
      <w:pPr>
        <w:ind w:left="3373" w:hanging="3363" w:hangingChars="1400"/>
        <w:jc w:val="center"/>
        <w:rPr>
          <w:rFonts w:ascii="黑体" w:hAnsi="黑体" w:eastAsia="黑体" w:cs="宋体"/>
          <w:b/>
          <w:bCs/>
          <w:sz w:val="24"/>
          <w:szCs w:val="24"/>
        </w:rPr>
      </w:pPr>
      <w:r>
        <w:rPr>
          <w:rFonts w:hint="eastAsia" w:ascii="黑体" w:hAnsi="黑体" w:eastAsia="黑体" w:cs="宋体"/>
          <w:b/>
          <w:bCs/>
          <w:sz w:val="24"/>
          <w:szCs w:val="24"/>
        </w:rPr>
        <w:t>——2</w:t>
      </w:r>
      <w:r>
        <w:rPr>
          <w:rFonts w:ascii="黑体" w:hAnsi="黑体" w:eastAsia="黑体" w:cs="宋体"/>
          <w:b/>
          <w:bCs/>
          <w:sz w:val="24"/>
          <w:szCs w:val="24"/>
        </w:rPr>
        <w:t>021</w:t>
      </w:r>
      <w:r>
        <w:rPr>
          <w:rFonts w:hint="eastAsia" w:ascii="黑体" w:hAnsi="黑体" w:eastAsia="黑体" w:cs="宋体"/>
          <w:b/>
          <w:bCs/>
          <w:sz w:val="24"/>
          <w:szCs w:val="24"/>
        </w:rPr>
        <w:t>年“学雷锋月”主题团日活动</w:t>
      </w:r>
    </w:p>
    <w:bookmarkEnd w:id="2"/>
    <w:p>
      <w:pPr>
        <w:jc w:val="center"/>
        <w:rPr>
          <w:rFonts w:ascii="黑体" w:hAnsi="黑体" w:eastAsia="黑体" w:cs="宋体"/>
          <w:b/>
          <w:bCs/>
          <w:sz w:val="96"/>
          <w:szCs w:val="96"/>
        </w:rPr>
      </w:pPr>
    </w:p>
    <w:p>
      <w:pPr>
        <w:jc w:val="center"/>
        <w:rPr>
          <w:rFonts w:ascii="黑体" w:hAnsi="黑体" w:eastAsia="黑体" w:cs="宋体"/>
          <w:b/>
          <w:bCs/>
          <w:sz w:val="96"/>
          <w:szCs w:val="96"/>
        </w:rPr>
      </w:pPr>
      <w:r>
        <w:rPr>
          <w:rFonts w:hint="eastAsia" w:ascii="黑体" w:hAnsi="黑体" w:eastAsia="黑体" w:cs="宋体"/>
          <w:b/>
          <w:bCs/>
          <w:sz w:val="96"/>
          <w:szCs w:val="96"/>
        </w:rPr>
        <w:t>策</w:t>
      </w:r>
    </w:p>
    <w:p>
      <w:pPr>
        <w:jc w:val="center"/>
        <w:rPr>
          <w:rFonts w:ascii="黑体" w:hAnsi="黑体" w:eastAsia="黑体" w:cs="宋体"/>
          <w:b/>
          <w:bCs/>
          <w:sz w:val="96"/>
          <w:szCs w:val="96"/>
        </w:rPr>
      </w:pPr>
      <w:r>
        <w:rPr>
          <w:rFonts w:hint="eastAsia" w:ascii="黑体" w:hAnsi="黑体" w:eastAsia="黑体" w:cs="宋体"/>
          <w:b/>
          <w:bCs/>
          <w:sz w:val="96"/>
          <w:szCs w:val="96"/>
        </w:rPr>
        <w:t>划</w:t>
      </w:r>
    </w:p>
    <w:p>
      <w:pPr>
        <w:jc w:val="center"/>
        <w:rPr>
          <w:rFonts w:ascii="黑体" w:hAnsi="黑体" w:eastAsia="黑体" w:cs="宋体"/>
          <w:b/>
          <w:bCs/>
          <w:sz w:val="96"/>
          <w:szCs w:val="96"/>
        </w:rPr>
      </w:pPr>
      <w:r>
        <w:rPr>
          <w:rFonts w:hint="eastAsia" w:ascii="黑体" w:hAnsi="黑体" w:eastAsia="黑体" w:cs="宋体"/>
          <w:b/>
          <w:bCs/>
          <w:sz w:val="96"/>
          <w:szCs w:val="96"/>
        </w:rPr>
        <w:t>书</w:t>
      </w:r>
    </w:p>
    <w:p>
      <w:pPr>
        <w:jc w:val="center"/>
        <w:rPr>
          <w:rFonts w:ascii="黑体" w:hAnsi="黑体" w:eastAsia="黑体" w:cs="黑体"/>
          <w:szCs w:val="28"/>
        </w:rPr>
      </w:pPr>
    </w:p>
    <w:p>
      <w:pPr>
        <w:jc w:val="center"/>
        <w:rPr>
          <w:rFonts w:ascii="黑体" w:hAnsi="黑体" w:eastAsia="黑体" w:cs="宋体"/>
          <w:b/>
          <w:bCs/>
          <w:sz w:val="36"/>
          <w:szCs w:val="36"/>
        </w:rPr>
      </w:pPr>
    </w:p>
    <w:p>
      <w:pPr>
        <w:jc w:val="center"/>
        <w:rPr>
          <w:rFonts w:ascii="黑体" w:hAnsi="黑体" w:eastAsia="黑体" w:cs="宋体"/>
          <w:b/>
          <w:bCs/>
          <w:sz w:val="36"/>
          <w:szCs w:val="36"/>
        </w:rPr>
      </w:pPr>
      <w:r>
        <w:rPr>
          <w:rFonts w:hint="eastAsia" w:ascii="黑体" w:hAnsi="黑体" w:eastAsia="黑体" w:cs="宋体"/>
          <w:b/>
          <w:bCs/>
          <w:sz w:val="36"/>
          <w:szCs w:val="36"/>
        </w:rPr>
        <w:t>共青团南京中医药大学药学院委员会</w:t>
      </w:r>
    </w:p>
    <w:p>
      <w:pPr>
        <w:jc w:val="center"/>
        <w:rPr>
          <w:rFonts w:ascii="黑体" w:hAnsi="黑体" w:eastAsia="黑体" w:cs="宋体"/>
          <w:b/>
          <w:bCs/>
          <w:sz w:val="36"/>
          <w:szCs w:val="36"/>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黑体" w:hAnsi="黑体" w:eastAsia="黑体" w:cs="宋体"/>
          <w:b/>
          <w:bCs/>
          <w:sz w:val="36"/>
          <w:szCs w:val="36"/>
        </w:rPr>
        <w:t>2</w:t>
      </w:r>
      <w:r>
        <w:rPr>
          <w:rFonts w:ascii="黑体" w:hAnsi="黑体" w:eastAsia="黑体" w:cs="宋体"/>
          <w:b/>
          <w:bCs/>
          <w:sz w:val="36"/>
          <w:szCs w:val="36"/>
        </w:rPr>
        <w:t>021</w:t>
      </w:r>
      <w:r>
        <w:rPr>
          <w:rFonts w:hint="eastAsia" w:ascii="黑体" w:hAnsi="黑体" w:eastAsia="黑体" w:cs="宋体"/>
          <w:b/>
          <w:bCs/>
          <w:sz w:val="36"/>
          <w:szCs w:val="36"/>
        </w:rPr>
        <w:t>年</w:t>
      </w:r>
      <w:r>
        <w:rPr>
          <w:rFonts w:ascii="黑体" w:hAnsi="黑体" w:eastAsia="黑体" w:cs="宋体"/>
          <w:b/>
          <w:bCs/>
          <w:sz w:val="36"/>
          <w:szCs w:val="36"/>
        </w:rPr>
        <w:t>3</w:t>
      </w:r>
      <w:r>
        <w:rPr>
          <w:rFonts w:hint="eastAsia" w:ascii="黑体" w:hAnsi="黑体" w:eastAsia="黑体" w:cs="宋体"/>
          <w:b/>
          <w:bCs/>
          <w:sz w:val="36"/>
          <w:szCs w:val="36"/>
        </w:rPr>
        <w:t>月5日</w:t>
      </w:r>
      <w:r>
        <w:rPr>
          <w:rFonts w:ascii="黑体" w:hAnsi="黑体" w:eastAsia="黑体" w:cs="黑体"/>
          <w:szCs w:val="28"/>
        </w:rPr>
        <w:t xml:space="preserve">     </w:t>
      </w:r>
    </w:p>
    <w:p>
      <w:pPr>
        <w:pStyle w:val="4"/>
        <w:rPr>
          <w:rFonts w:ascii="宋体" w:hAnsi="宋体" w:eastAsia="宋体" w:cs="宋体"/>
          <w:b/>
          <w:bCs/>
          <w:sz w:val="28"/>
          <w:szCs w:val="28"/>
        </w:rPr>
      </w:pPr>
      <w:r>
        <w:rPr>
          <w:rFonts w:hint="eastAsia" w:ascii="宋体" w:hAnsi="宋体" w:eastAsia="宋体" w:cs="宋体"/>
          <w:b/>
          <w:bCs/>
          <w:sz w:val="28"/>
          <w:szCs w:val="28"/>
        </w:rPr>
        <w:t>目录</w:t>
      </w:r>
    </w:p>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"_Toc115902565" </w:instrText>
      </w:r>
      <w:r>
        <w:fldChar w:fldCharType="separate"/>
      </w:r>
      <w:r>
        <w:rPr>
          <w:rStyle w:val="9"/>
          <w:rFonts w:ascii="宋体" w:hAnsi="宋体" w:eastAsia="宋体"/>
          <w:sz w:val="28"/>
          <w:szCs w:val="28"/>
        </w:rPr>
        <w:t>一、 活动主题</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_Toc115902565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"_Toc115902566" </w:instrText>
      </w:r>
      <w:r>
        <w:fldChar w:fldCharType="separate"/>
      </w:r>
      <w:r>
        <w:rPr>
          <w:rStyle w:val="9"/>
          <w:rFonts w:ascii="宋体" w:hAnsi="宋体" w:eastAsia="宋体"/>
          <w:sz w:val="28"/>
          <w:szCs w:val="28"/>
        </w:rPr>
        <w:t>二、 活动时间</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_Toc115902566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"_Toc115902567" </w:instrText>
      </w:r>
      <w:r>
        <w:fldChar w:fldCharType="separate"/>
      </w:r>
      <w:r>
        <w:rPr>
          <w:rStyle w:val="9"/>
          <w:rFonts w:ascii="宋体" w:hAnsi="宋体" w:eastAsia="宋体"/>
          <w:sz w:val="28"/>
          <w:szCs w:val="28"/>
        </w:rPr>
        <w:t>三、 主办单位</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_Toc115902567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"_Toc115902568" </w:instrText>
      </w:r>
      <w:r>
        <w:fldChar w:fldCharType="separate"/>
      </w:r>
      <w:r>
        <w:rPr>
          <w:rStyle w:val="9"/>
          <w:rFonts w:ascii="宋体" w:hAnsi="宋体" w:eastAsia="宋体"/>
          <w:sz w:val="28"/>
          <w:szCs w:val="28"/>
        </w:rPr>
        <w:t xml:space="preserve">四、 </w:t>
      </w:r>
      <w:r>
        <w:rPr>
          <w:rStyle w:val="9"/>
          <w:rFonts w:hint="eastAsia" w:ascii="宋体" w:hAnsi="宋体" w:eastAsia="宋体"/>
          <w:sz w:val="28"/>
          <w:szCs w:val="28"/>
          <w:lang w:val="en-US" w:eastAsia="zh-Hans"/>
        </w:rPr>
        <w:t>承</w:t>
      </w:r>
      <w:r>
        <w:rPr>
          <w:rStyle w:val="9"/>
          <w:rFonts w:ascii="宋体" w:hAnsi="宋体" w:eastAsia="宋体"/>
          <w:sz w:val="28"/>
          <w:szCs w:val="28"/>
        </w:rPr>
        <w:t>办单位</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_Toc115902568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"_Toc115902569" </w:instrText>
      </w:r>
      <w:r>
        <w:fldChar w:fldCharType="separate"/>
      </w:r>
      <w:r>
        <w:rPr>
          <w:rStyle w:val="9"/>
          <w:rFonts w:ascii="宋体" w:hAnsi="宋体" w:eastAsia="宋体"/>
          <w:sz w:val="28"/>
          <w:szCs w:val="28"/>
        </w:rPr>
        <w:t>五、 参与人员</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_Toc115902569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"_Toc115902570" </w:instrText>
      </w:r>
      <w:r>
        <w:fldChar w:fldCharType="separate"/>
      </w:r>
      <w:r>
        <w:rPr>
          <w:rStyle w:val="9"/>
          <w:rFonts w:ascii="宋体" w:hAnsi="宋体" w:eastAsia="宋体"/>
          <w:sz w:val="28"/>
          <w:szCs w:val="28"/>
        </w:rPr>
        <w:t>六、 活动背景</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_Toc115902570 \h </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"_Toc115902571" </w:instrText>
      </w:r>
      <w:r>
        <w:fldChar w:fldCharType="separate"/>
      </w:r>
      <w:r>
        <w:rPr>
          <w:rStyle w:val="9"/>
          <w:rFonts w:ascii="宋体" w:hAnsi="宋体" w:eastAsia="宋体"/>
          <w:sz w:val="28"/>
          <w:szCs w:val="28"/>
        </w:rPr>
        <w:t>七、 活动目的</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_Toc115902571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"_Toc115902572" </w:instrText>
      </w:r>
      <w:r>
        <w:fldChar w:fldCharType="separate"/>
      </w:r>
      <w:r>
        <w:rPr>
          <w:rStyle w:val="9"/>
          <w:rFonts w:ascii="宋体" w:hAnsi="宋体" w:eastAsia="宋体"/>
          <w:sz w:val="28"/>
          <w:szCs w:val="28"/>
        </w:rPr>
        <w:t>八、 前期准备</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_Toc115902572 \h </w:instrText>
      </w:r>
      <w:r>
        <w:rPr>
          <w:rFonts w:ascii="宋体" w:hAnsi="宋体" w:eastAsia="宋体"/>
          <w:sz w:val="28"/>
          <w:szCs w:val="28"/>
        </w:rPr>
        <w:fldChar w:fldCharType="separate"/>
      </w:r>
      <w:r>
        <w:rPr>
          <w:rFonts w:ascii="宋体" w:hAnsi="宋体" w:eastAsia="宋体"/>
          <w:sz w:val="28"/>
          <w:szCs w:val="28"/>
        </w:rPr>
        <w:t>5</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"_Toc115902573" </w:instrText>
      </w:r>
      <w:r>
        <w:fldChar w:fldCharType="separate"/>
      </w:r>
      <w:r>
        <w:rPr>
          <w:rStyle w:val="9"/>
          <w:rFonts w:ascii="宋体" w:hAnsi="宋体" w:eastAsia="宋体"/>
          <w:sz w:val="28"/>
          <w:szCs w:val="28"/>
        </w:rPr>
        <w:t>九、 活动内容</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_Toc115902573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"_Toc115902574" </w:instrText>
      </w:r>
      <w:r>
        <w:fldChar w:fldCharType="separate"/>
      </w:r>
      <w:r>
        <w:rPr>
          <w:rStyle w:val="9"/>
          <w:rFonts w:ascii="宋体" w:hAnsi="宋体" w:eastAsia="宋体"/>
          <w:sz w:val="28"/>
          <w:szCs w:val="28"/>
        </w:rPr>
        <w:t>十、 活动后期</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_Toc115902574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"_Toc115902575" </w:instrText>
      </w:r>
      <w:r>
        <w:fldChar w:fldCharType="separate"/>
      </w:r>
      <w:r>
        <w:rPr>
          <w:rStyle w:val="9"/>
          <w:rFonts w:ascii="宋体" w:hAnsi="宋体" w:eastAsia="宋体"/>
          <w:sz w:val="28"/>
          <w:szCs w:val="28"/>
        </w:rPr>
        <w:t>十一、 活动风险预测</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_Toc115902575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"_Toc115902576" </w:instrText>
      </w:r>
      <w:r>
        <w:fldChar w:fldCharType="separate"/>
      </w:r>
      <w:r>
        <w:rPr>
          <w:rStyle w:val="9"/>
          <w:rFonts w:ascii="宋体" w:hAnsi="宋体" w:eastAsia="宋体"/>
          <w:sz w:val="28"/>
          <w:szCs w:val="28"/>
        </w:rPr>
        <w:t>十二、 活动风险解决方案</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_Toc115902576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"_Toc115902577" </w:instrText>
      </w:r>
      <w:r>
        <w:fldChar w:fldCharType="separate"/>
      </w:r>
      <w:r>
        <w:rPr>
          <w:rStyle w:val="9"/>
          <w:rFonts w:ascii="宋体" w:hAnsi="宋体" w:eastAsia="宋体"/>
          <w:sz w:val="28"/>
          <w:szCs w:val="28"/>
        </w:rPr>
        <w:t>十三、 活动人员安排</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_Toc115902577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"_Toc115902578" </w:instrText>
      </w:r>
      <w:r>
        <w:fldChar w:fldCharType="separate"/>
      </w:r>
      <w:r>
        <w:rPr>
          <w:rStyle w:val="9"/>
          <w:rFonts w:ascii="宋体" w:hAnsi="宋体" w:eastAsia="宋体"/>
          <w:sz w:val="28"/>
          <w:szCs w:val="28"/>
        </w:rPr>
        <w:t>十四、 活动预期效果</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_Toc115902578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"_Toc115902579" </w:instrText>
      </w:r>
      <w:r>
        <w:fldChar w:fldCharType="separate"/>
      </w:r>
      <w:r>
        <w:rPr>
          <w:rStyle w:val="9"/>
          <w:rFonts w:ascii="宋体" w:hAnsi="宋体" w:eastAsia="宋体"/>
          <w:sz w:val="28"/>
          <w:szCs w:val="28"/>
        </w:rPr>
        <w:t>十五、 经费预算</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_Toc115902579 \h </w:instrText>
      </w:r>
      <w:r>
        <w:rPr>
          <w:rFonts w:ascii="宋体" w:hAnsi="宋体" w:eastAsia="宋体"/>
          <w:sz w:val="28"/>
          <w:szCs w:val="28"/>
        </w:rPr>
        <w:fldChar w:fldCharType="separate"/>
      </w:r>
      <w:r>
        <w:rPr>
          <w:rFonts w:ascii="宋体" w:hAnsi="宋体" w:eastAsia="宋体"/>
          <w:sz w:val="28"/>
          <w:szCs w:val="28"/>
        </w:rPr>
        <w:t>7</w:t>
      </w:r>
      <w:r>
        <w:rPr>
          <w:rFonts w:ascii="宋体" w:hAnsi="宋体" w:eastAsia="宋体"/>
          <w:sz w:val="28"/>
          <w:szCs w:val="28"/>
        </w:rPr>
        <w:fldChar w:fldCharType="end"/>
      </w:r>
      <w:r>
        <w:rPr>
          <w:rFonts w:ascii="宋体" w:hAnsi="宋体" w:eastAsia="宋体"/>
          <w:sz w:val="28"/>
          <w:szCs w:val="28"/>
        </w:rPr>
        <w:fldChar w:fldCharType="end"/>
      </w:r>
    </w:p>
    <w:p>
      <w:pPr>
        <w:pStyle w:val="4"/>
        <w:rPr>
          <w:rFonts w:ascii="宋体" w:hAnsi="宋体" w:eastAsia="宋体"/>
          <w:sz w:val="28"/>
          <w:szCs w:val="28"/>
        </w:rPr>
      </w:pPr>
      <w:r>
        <w:fldChar w:fldCharType="begin"/>
      </w:r>
      <w:r>
        <w:instrText xml:space="preserve"> HYPERLINK \l "_Toc115902580" </w:instrText>
      </w:r>
      <w:r>
        <w:fldChar w:fldCharType="separate"/>
      </w:r>
      <w:r>
        <w:rPr>
          <w:rStyle w:val="9"/>
          <w:rFonts w:ascii="宋体" w:hAnsi="宋体" w:eastAsia="宋体"/>
          <w:sz w:val="28"/>
          <w:szCs w:val="28"/>
        </w:rPr>
        <w:t>十六、 日程安排</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_Toc115902580 \h </w:instrText>
      </w:r>
      <w:r>
        <w:rPr>
          <w:rFonts w:ascii="宋体" w:hAnsi="宋体" w:eastAsia="宋体"/>
          <w:sz w:val="28"/>
          <w:szCs w:val="28"/>
        </w:rPr>
        <w:fldChar w:fldCharType="separate"/>
      </w:r>
      <w:r>
        <w:rPr>
          <w:rFonts w:ascii="宋体" w:hAnsi="宋体" w:eastAsia="宋体"/>
          <w:sz w:val="28"/>
          <w:szCs w:val="28"/>
        </w:rPr>
        <w:t>8</w:t>
      </w:r>
      <w:r>
        <w:rPr>
          <w:rFonts w:ascii="宋体" w:hAnsi="宋体" w:eastAsia="宋体"/>
          <w:sz w:val="28"/>
          <w:szCs w:val="28"/>
        </w:rPr>
        <w:fldChar w:fldCharType="end"/>
      </w:r>
      <w:r>
        <w:rPr>
          <w:rFonts w:ascii="宋体" w:hAnsi="宋体" w:eastAsia="宋体"/>
          <w:sz w:val="28"/>
          <w:szCs w:val="28"/>
        </w:rPr>
        <w:fldChar w:fldCharType="end"/>
      </w:r>
    </w:p>
    <w:p>
      <w:pPr>
        <w:rPr>
          <w:rFonts w:ascii="宋体" w:hAnsi="宋体"/>
          <w:szCs w:val="28"/>
        </w:rPr>
      </w:pPr>
      <w:r>
        <w:rPr>
          <w:rFonts w:ascii="宋体" w:hAnsi="宋体"/>
          <w:szCs w:val="28"/>
        </w:rPr>
        <w:fldChar w:fldCharType="end"/>
      </w:r>
    </w:p>
    <w:p>
      <w:pPr>
        <w:rPr>
          <w:rFonts w:ascii="宋体" w:hAnsi="宋体"/>
          <w:szCs w:val="28"/>
        </w:rPr>
      </w:pPr>
    </w:p>
    <w:p>
      <w:pPr>
        <w:rPr>
          <w:rFonts w:ascii="宋体" w:hAnsi="宋体"/>
          <w:szCs w:val="28"/>
        </w:rPr>
      </w:pPr>
    </w:p>
    <w:p>
      <w:pPr>
        <w:rPr>
          <w:rFonts w:ascii="宋体" w:hAnsi="宋体"/>
          <w:szCs w:val="28"/>
        </w:rPr>
      </w:pPr>
    </w:p>
    <w:p>
      <w:pPr>
        <w:rPr>
          <w:rFonts w:ascii="宋体" w:hAnsi="宋体"/>
          <w:szCs w:val="28"/>
        </w:rPr>
      </w:pPr>
    </w:p>
    <w:p>
      <w:pPr>
        <w:pStyle w:val="5"/>
        <w:numPr>
          <w:ilvl w:val="0"/>
          <w:numId w:val="1"/>
        </w:numPr>
        <w:spacing w:before="156" w:beforeLines="50" w:after="156" w:afterLines="50" w:line="560" w:lineRule="exact"/>
      </w:pPr>
      <w:bookmarkStart w:id="3" w:name="_Toc115902565"/>
      <w:r>
        <w:rPr>
          <w:rFonts w:hint="eastAsia"/>
        </w:rPr>
        <w:t>活动主题</w:t>
      </w:r>
      <w:bookmarkEnd w:id="3"/>
    </w:p>
    <w:p>
      <w:pPr>
        <w:spacing w:line="560" w:lineRule="exact"/>
        <w:ind w:firstLine="480" w:firstLineChars="200"/>
        <w:jc w:val="left"/>
        <w:rPr>
          <w:sz w:val="24"/>
          <w:szCs w:val="24"/>
        </w:rPr>
      </w:pPr>
      <w:r>
        <w:rPr>
          <w:rFonts w:hint="eastAsia"/>
          <w:sz w:val="24"/>
          <w:szCs w:val="24"/>
        </w:rPr>
        <w:t>“杏林学子筑爱助残，青春助力益路同行”</w:t>
      </w:r>
    </w:p>
    <w:p>
      <w:pPr>
        <w:pStyle w:val="5"/>
        <w:numPr>
          <w:ilvl w:val="0"/>
          <w:numId w:val="1"/>
        </w:numPr>
        <w:spacing w:before="156" w:beforeLines="50" w:after="156" w:afterLines="50" w:line="560" w:lineRule="exact"/>
      </w:pPr>
      <w:bookmarkStart w:id="4" w:name="_Toc115902566"/>
      <w:r>
        <w:rPr>
          <w:rFonts w:hint="eastAsia"/>
        </w:rPr>
        <w:t>活动时间</w:t>
      </w:r>
      <w:bookmarkEnd w:id="4"/>
    </w:p>
    <w:p>
      <w:pPr>
        <w:spacing w:line="560" w:lineRule="exact"/>
        <w:ind w:firstLine="480" w:firstLineChars="200"/>
        <w:jc w:val="left"/>
        <w:rPr>
          <w:sz w:val="24"/>
          <w:szCs w:val="24"/>
        </w:rPr>
      </w:pPr>
      <w:r>
        <w:rPr>
          <w:rFonts w:hint="eastAsia"/>
          <w:sz w:val="24"/>
          <w:szCs w:val="24"/>
        </w:rPr>
        <w:t>2021年5月23日——24日</w:t>
      </w:r>
    </w:p>
    <w:p>
      <w:pPr>
        <w:pStyle w:val="5"/>
        <w:numPr>
          <w:ilvl w:val="0"/>
          <w:numId w:val="1"/>
        </w:numPr>
        <w:spacing w:before="156" w:beforeLines="50" w:after="156" w:afterLines="50" w:line="560" w:lineRule="exact"/>
      </w:pPr>
      <w:bookmarkStart w:id="5" w:name="_Toc115902567"/>
      <w:r>
        <w:rPr>
          <w:rFonts w:hint="eastAsia"/>
        </w:rPr>
        <w:t>主办单位</w:t>
      </w:r>
      <w:bookmarkEnd w:id="5"/>
    </w:p>
    <w:p>
      <w:pPr>
        <w:spacing w:line="560" w:lineRule="exact"/>
        <w:ind w:firstLine="480" w:firstLineChars="200"/>
        <w:jc w:val="left"/>
        <w:rPr>
          <w:sz w:val="24"/>
          <w:szCs w:val="24"/>
        </w:rPr>
      </w:pPr>
      <w:r>
        <w:rPr>
          <w:rFonts w:hint="eastAsia"/>
          <w:sz w:val="24"/>
          <w:szCs w:val="24"/>
        </w:rPr>
        <w:t>共青团南京中医药大学药学院委员会</w:t>
      </w:r>
    </w:p>
    <w:p>
      <w:pPr>
        <w:pStyle w:val="5"/>
        <w:numPr>
          <w:ilvl w:val="0"/>
          <w:numId w:val="1"/>
        </w:numPr>
        <w:spacing w:before="156" w:beforeLines="50" w:after="156" w:afterLines="50" w:line="560" w:lineRule="exact"/>
      </w:pPr>
      <w:bookmarkStart w:id="6" w:name="_Toc115902568"/>
      <w:r>
        <w:rPr>
          <w:rFonts w:hint="eastAsia"/>
          <w:lang w:val="en-US" w:eastAsia="zh-Hans"/>
        </w:rPr>
        <w:t>承办</w:t>
      </w:r>
      <w:bookmarkStart w:id="19" w:name="_GoBack"/>
      <w:bookmarkEnd w:id="19"/>
      <w:r>
        <w:rPr>
          <w:rFonts w:hint="eastAsia"/>
        </w:rPr>
        <w:t>单位</w:t>
      </w:r>
      <w:bookmarkEnd w:id="6"/>
    </w:p>
    <w:p>
      <w:pPr>
        <w:spacing w:line="560" w:lineRule="exact"/>
        <w:ind w:firstLine="480" w:firstLineChars="200"/>
        <w:jc w:val="left"/>
        <w:rPr>
          <w:sz w:val="24"/>
          <w:szCs w:val="24"/>
        </w:rPr>
      </w:pPr>
      <w:r>
        <w:rPr>
          <w:rFonts w:hint="eastAsia"/>
          <w:sz w:val="24"/>
          <w:szCs w:val="24"/>
        </w:rPr>
        <w:t>博爱社药学院分会</w:t>
      </w:r>
    </w:p>
    <w:p>
      <w:pPr>
        <w:pStyle w:val="5"/>
        <w:numPr>
          <w:ilvl w:val="0"/>
          <w:numId w:val="1"/>
        </w:numPr>
        <w:spacing w:before="156" w:beforeLines="50" w:after="156" w:afterLines="50" w:line="560" w:lineRule="exact"/>
      </w:pPr>
      <w:bookmarkStart w:id="7" w:name="_Toc115902569"/>
      <w:r>
        <w:rPr>
          <w:rFonts w:hint="eastAsia"/>
        </w:rPr>
        <w:t>参与人员</w:t>
      </w:r>
      <w:bookmarkEnd w:id="7"/>
    </w:p>
    <w:p>
      <w:pPr>
        <w:spacing w:line="560" w:lineRule="exact"/>
        <w:ind w:firstLine="480" w:firstLineChars="200"/>
        <w:jc w:val="left"/>
        <w:rPr>
          <w:sz w:val="24"/>
          <w:szCs w:val="24"/>
        </w:rPr>
      </w:pPr>
      <w:r>
        <w:rPr>
          <w:rFonts w:hint="eastAsia"/>
          <w:sz w:val="24"/>
          <w:szCs w:val="24"/>
        </w:rPr>
        <w:t>在药学院招募到的青年志愿者</w:t>
      </w:r>
    </w:p>
    <w:p>
      <w:pPr>
        <w:pStyle w:val="5"/>
        <w:numPr>
          <w:ilvl w:val="0"/>
          <w:numId w:val="1"/>
        </w:numPr>
        <w:spacing w:before="156" w:beforeLines="50" w:after="156" w:afterLines="50" w:line="560" w:lineRule="exact"/>
      </w:pPr>
      <w:bookmarkStart w:id="8" w:name="_Toc115902570"/>
      <w:r>
        <w:rPr>
          <w:rFonts w:hint="eastAsia"/>
        </w:rPr>
        <w:t>活动背景</w:t>
      </w:r>
      <w:bookmarkEnd w:id="8"/>
    </w:p>
    <w:p>
      <w:pPr>
        <w:spacing w:line="560" w:lineRule="exact"/>
        <w:ind w:firstLine="480" w:firstLineChars="200"/>
        <w:jc w:val="left"/>
        <w:rPr>
          <w:sz w:val="24"/>
          <w:szCs w:val="24"/>
        </w:rPr>
      </w:pPr>
      <w:r>
        <w:rPr>
          <w:rFonts w:hint="eastAsia"/>
          <w:sz w:val="24"/>
          <w:szCs w:val="24"/>
        </w:rPr>
        <w:t>国务委员、国务院残疾人工作委员会主任王勇在出席第三十一次全国助残日活动时强调：“要深入贯彻习近平总书记对残疾人要格外关心、格外关注和发展残疾人事业的重要指示精神，落实党中央、国务院决策部署，进一步加强基本民生保障，更好保障残疾人合法权益，提高公共服务水平和残疾人生活品质，不断增进社会福祉。”</w:t>
      </w:r>
    </w:p>
    <w:p>
      <w:pPr>
        <w:spacing w:line="560" w:lineRule="exact"/>
        <w:ind w:firstLine="480" w:firstLineChars="200"/>
        <w:jc w:val="left"/>
        <w:rPr>
          <w:sz w:val="24"/>
          <w:szCs w:val="24"/>
        </w:rPr>
      </w:pPr>
      <w:r>
        <w:rPr>
          <w:rFonts w:hint="eastAsia"/>
          <w:sz w:val="24"/>
          <w:szCs w:val="24"/>
        </w:rPr>
        <w:t>我国在1990年12月28日审议通过的《中华人民共和国残疾人保障法》第14条规定:“每年五月第三个星期日，为全国助残日。” 全国助残日是残疾人的节日，它倡导助残风尚，构建和谐社会，让关爱的阳光照亮每一个残疾人的心灵。残疾人文化是社会主义文化的重要组成部分，是弘扬人道主义思想、讴歌自强精神的励志文化；是倡导平等友爱、包容互助的和谐文化；是践行社会主义荣辱观的道德文化；是建设社会主义精神文明的人文文化。为了贯彻全国助残日精神、贯彻习近平总书记对残疾人要格外关心、格外关注和发展残疾人事业的重要指示，特此开展有针对性、有深度、有影响力的主题义卖活动，加强人道主义思想的宣传教育，并通过多种形式支持残疾人的正常生活，为残疾人接受社会力量的帮助创造条件。</w:t>
      </w:r>
    </w:p>
    <w:p>
      <w:pPr>
        <w:pStyle w:val="5"/>
        <w:numPr>
          <w:ilvl w:val="0"/>
          <w:numId w:val="1"/>
        </w:numPr>
        <w:spacing w:before="156" w:beforeLines="50" w:after="156" w:afterLines="50" w:line="560" w:lineRule="exact"/>
      </w:pPr>
      <w:bookmarkStart w:id="9" w:name="_Toc115902571"/>
      <w:r>
        <w:rPr>
          <w:rFonts w:hint="eastAsia"/>
        </w:rPr>
        <w:t>活动目的</w:t>
      </w:r>
      <w:bookmarkEnd w:id="9"/>
    </w:p>
    <w:p>
      <w:pPr>
        <w:spacing w:line="560" w:lineRule="exact"/>
        <w:ind w:firstLine="480" w:firstLineChars="200"/>
        <w:jc w:val="left"/>
        <w:rPr>
          <w:sz w:val="24"/>
          <w:szCs w:val="24"/>
        </w:rPr>
      </w:pPr>
      <w:r>
        <w:rPr>
          <w:rFonts w:hint="eastAsia"/>
          <w:sz w:val="24"/>
          <w:szCs w:val="24"/>
        </w:rPr>
        <w:t>为了贯彻全国助残日精神、落实习近平总书记对残疾人要格外关心、格外关注和发展残疾人事业的重要指示，药学院分团委特此开展有针对性、有深度、有影响力的“杏林学子筑爱助残，青春助力益路同行”的主题义卖活动，加强人道主义思想的宣传教育，并通过多种形式支持残疾人的正常生活，为残疾人接受社会力量的帮助创造条件。要深入弘扬人道主义精神，切实营造团结互助、平等友爱的良好环境，为全面构建和谐社会做出贡献。助残日主题义卖活动能够使南中医学子感受到残疾人的艰辛生活和顽强意志，有助于南中医学子学习残疾人身残志坚、勇敢拼搏的精神；树立自尊、自爱、自强、自立的顽强品质；树立正确的人生观和世界观；学会尊重、理解、关爱他人。</w:t>
      </w:r>
    </w:p>
    <w:p>
      <w:pPr>
        <w:spacing w:line="560" w:lineRule="exact"/>
        <w:ind w:firstLine="480" w:firstLineChars="200"/>
        <w:jc w:val="left"/>
        <w:rPr>
          <w:sz w:val="24"/>
          <w:szCs w:val="24"/>
        </w:rPr>
      </w:pPr>
      <w:r>
        <w:rPr>
          <w:rFonts w:hint="eastAsia"/>
          <w:sz w:val="24"/>
          <w:szCs w:val="24"/>
        </w:rPr>
        <w:t>药学院分团委主办助残日主题义卖活动旨在以开展“全国助残日”活动为契机，大力宣传南京中医药大学为帮扶贫困残疾人和保障残疾人基本生活而采取的积极政策和有力措施，深入报道扶残助残先进集体与个人的动人事迹，引导南中医学子进一步关注、关心残疾人，积极营造有利于残疾人事业发展的良好社会环境。进一步弘扬中华民族扶弱助残的传统美德；逐步形成全社会都来理解、关心、帮助残疾人的良好氛围，营造扶残助残的社会风尚；增强残疾人自尊、自信、自立、自强的信念；促进系列助残活动持续健康的发展。</w:t>
      </w:r>
    </w:p>
    <w:p>
      <w:pPr>
        <w:pStyle w:val="5"/>
        <w:numPr>
          <w:ilvl w:val="0"/>
          <w:numId w:val="1"/>
        </w:numPr>
        <w:spacing w:before="156" w:beforeLines="50" w:after="156" w:afterLines="50" w:line="560" w:lineRule="exact"/>
      </w:pPr>
      <w:bookmarkStart w:id="10" w:name="_Toc115902572"/>
      <w:r>
        <w:rPr>
          <w:rFonts w:hint="eastAsia"/>
        </w:rPr>
        <w:t>前期准备</w:t>
      </w:r>
      <w:bookmarkEnd w:id="10"/>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共青团南京中医药大学</w:t>
      </w:r>
      <w:r>
        <w:rPr>
          <w:sz w:val="24"/>
          <w:szCs w:val="24"/>
        </w:rPr>
        <w:t>药学院</w:t>
      </w:r>
      <w:r>
        <w:rPr>
          <w:rFonts w:hint="eastAsia"/>
          <w:sz w:val="24"/>
          <w:szCs w:val="24"/>
        </w:rPr>
        <w:t>委员会</w:t>
      </w:r>
      <w:r>
        <w:rPr>
          <w:sz w:val="24"/>
          <w:szCs w:val="24"/>
        </w:rPr>
        <w:t>进行前期会议，讨论活动主题、活动目的、活动流程和活动分工等问题，对参与本次活动的成员进行统计，确定活动策划方案</w:t>
      </w:r>
      <w:r>
        <w:rPr>
          <w:rFonts w:hint="eastAsia"/>
          <w:sz w:val="24"/>
          <w:szCs w:val="24"/>
        </w:rPr>
        <w:t>。</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新闻中心相关部门准备好材料，通过官方QQ、微信公众号等途径进行线上活动的宣传，通过通知各班级团支书向班级各位同学转达宣传。</w:t>
      </w:r>
    </w:p>
    <w:p>
      <w:pPr>
        <w:pStyle w:val="5"/>
        <w:numPr>
          <w:ilvl w:val="0"/>
          <w:numId w:val="1"/>
        </w:numPr>
        <w:spacing w:before="156" w:beforeLines="50" w:after="156" w:afterLines="50" w:line="560" w:lineRule="exact"/>
      </w:pPr>
      <w:bookmarkStart w:id="11" w:name="_Toc115902573"/>
      <w:r>
        <w:rPr>
          <w:rFonts w:hint="eastAsia"/>
        </w:rPr>
        <w:t>活动内容</w:t>
      </w:r>
      <w:bookmarkEnd w:id="11"/>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由相关人员提前在大活北广场布置好场地，搭好帐篷，摆好桌椅，挂好横幅等；</w:t>
      </w:r>
    </w:p>
    <w:p>
      <w:pPr>
        <w:spacing w:line="560" w:lineRule="exact"/>
        <w:ind w:firstLine="480" w:firstLineChars="200"/>
        <w:jc w:val="left"/>
        <w:rPr>
          <w:sz w:val="24"/>
          <w:szCs w:val="24"/>
        </w:rPr>
      </w:pPr>
      <w:r>
        <w:rPr>
          <w:sz w:val="24"/>
          <w:szCs w:val="24"/>
        </w:rPr>
        <w:t>2.</w:t>
      </w:r>
      <w:r>
        <w:rPr>
          <w:rFonts w:hint="eastAsia"/>
          <w:sz w:val="24"/>
          <w:szCs w:val="24"/>
        </w:rPr>
        <w:t>5月23日当天早上由义卖活动参与者在大活北广场进行义卖并设置义卖活动小游戏用以增加人流量；</w:t>
      </w:r>
    </w:p>
    <w:p>
      <w:pPr>
        <w:spacing w:line="560" w:lineRule="exact"/>
        <w:ind w:firstLine="480" w:firstLineChars="200"/>
        <w:jc w:val="left"/>
        <w:rPr>
          <w:sz w:val="24"/>
          <w:szCs w:val="24"/>
        </w:rPr>
      </w:pPr>
      <w:r>
        <w:rPr>
          <w:rFonts w:hint="eastAsia"/>
          <w:sz w:val="24"/>
          <w:szCs w:val="24"/>
        </w:rPr>
        <w:t>3</w:t>
      </w:r>
      <w:r>
        <w:rPr>
          <w:sz w:val="24"/>
          <w:szCs w:val="24"/>
        </w:rPr>
        <w:t>.</w:t>
      </w:r>
      <w:r>
        <w:rPr>
          <w:rFonts w:hint="eastAsia"/>
          <w:sz w:val="24"/>
          <w:szCs w:val="24"/>
        </w:rPr>
        <w:t>由专门人员讲解此次义卖活动的原因及意义，并号召大家参与到义卖活动中；</w:t>
      </w:r>
    </w:p>
    <w:p>
      <w:pPr>
        <w:spacing w:line="560" w:lineRule="exact"/>
        <w:ind w:firstLine="480" w:firstLineChars="200"/>
        <w:jc w:val="left"/>
        <w:rPr>
          <w:sz w:val="24"/>
          <w:szCs w:val="24"/>
        </w:rPr>
      </w:pPr>
      <w:r>
        <w:rPr>
          <w:rFonts w:hint="eastAsia"/>
          <w:sz w:val="24"/>
          <w:szCs w:val="24"/>
        </w:rPr>
        <w:t>4</w:t>
      </w:r>
      <w:r>
        <w:rPr>
          <w:sz w:val="24"/>
          <w:szCs w:val="24"/>
        </w:rPr>
        <w:t>.</w:t>
      </w:r>
      <w:r>
        <w:rPr>
          <w:rFonts w:hint="eastAsia"/>
          <w:sz w:val="24"/>
          <w:szCs w:val="24"/>
        </w:rPr>
        <w:t>义卖结束，计算义卖物品数量及价格。</w:t>
      </w:r>
    </w:p>
    <w:p>
      <w:pPr>
        <w:pStyle w:val="5"/>
        <w:numPr>
          <w:ilvl w:val="0"/>
          <w:numId w:val="1"/>
        </w:numPr>
        <w:spacing w:before="156" w:beforeLines="50" w:after="156" w:afterLines="50" w:line="560" w:lineRule="exact"/>
      </w:pPr>
      <w:bookmarkStart w:id="12" w:name="_Toc115902574"/>
      <w:r>
        <w:rPr>
          <w:rFonts w:hint="eastAsia"/>
        </w:rPr>
        <w:t>活动后期</w:t>
      </w:r>
      <w:bookmarkEnd w:id="12"/>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在活动结束后，借助微博、QQ等网络媒体的力量进行网络报道，并号召更多的同学积极参与相关内容的评论和转载；</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以会议形式总结此次活动，并对积极参与人员进行表彰。</w:t>
      </w:r>
    </w:p>
    <w:p>
      <w:pPr>
        <w:pStyle w:val="5"/>
        <w:numPr>
          <w:ilvl w:val="0"/>
          <w:numId w:val="1"/>
        </w:numPr>
        <w:spacing w:before="156" w:beforeLines="50" w:after="156" w:afterLines="50" w:line="560" w:lineRule="exact"/>
      </w:pPr>
      <w:bookmarkStart w:id="13" w:name="_Toc115902575"/>
      <w:r>
        <w:rPr>
          <w:rFonts w:hint="eastAsia"/>
        </w:rPr>
        <w:t>活动风险预测</w:t>
      </w:r>
      <w:bookmarkEnd w:id="13"/>
    </w:p>
    <w:p>
      <w:pPr>
        <w:spacing w:line="560" w:lineRule="exact"/>
        <w:ind w:firstLine="480" w:firstLineChars="200"/>
        <w:jc w:val="left"/>
        <w:rPr>
          <w:sz w:val="24"/>
          <w:szCs w:val="24"/>
        </w:rPr>
      </w:pPr>
      <w:r>
        <w:rPr>
          <w:sz w:val="24"/>
          <w:szCs w:val="24"/>
        </w:rPr>
        <w:t>1.</w:t>
      </w:r>
      <w:r>
        <w:rPr>
          <w:rFonts w:hint="eastAsia"/>
          <w:sz w:val="24"/>
          <w:szCs w:val="24"/>
        </w:rPr>
        <w:t>活动最终解释权由共青团南京中医药大学药学院委员会所有；</w:t>
      </w:r>
    </w:p>
    <w:p>
      <w:pPr>
        <w:spacing w:line="560" w:lineRule="exact"/>
        <w:ind w:firstLine="480" w:firstLineChars="200"/>
        <w:jc w:val="left"/>
        <w:rPr>
          <w:sz w:val="24"/>
          <w:szCs w:val="24"/>
        </w:rPr>
      </w:pPr>
      <w:r>
        <w:rPr>
          <w:sz w:val="24"/>
          <w:szCs w:val="24"/>
        </w:rPr>
        <w:t>2</w:t>
      </w:r>
      <w:r>
        <w:rPr>
          <w:rFonts w:hint="eastAsia"/>
          <w:sz w:val="24"/>
          <w:szCs w:val="24"/>
        </w:rPr>
        <w:t>.活动过程中可能出现自身安全及公共物品问题；</w:t>
      </w:r>
    </w:p>
    <w:p>
      <w:pPr>
        <w:spacing w:line="560" w:lineRule="exact"/>
        <w:ind w:firstLine="480" w:firstLineChars="200"/>
        <w:jc w:val="left"/>
        <w:rPr>
          <w:sz w:val="24"/>
          <w:szCs w:val="24"/>
        </w:rPr>
      </w:pPr>
      <w:r>
        <w:rPr>
          <w:sz w:val="24"/>
          <w:szCs w:val="24"/>
        </w:rPr>
        <w:t>3</w:t>
      </w:r>
      <w:r>
        <w:rPr>
          <w:rFonts w:hint="eastAsia"/>
          <w:sz w:val="24"/>
          <w:szCs w:val="24"/>
        </w:rPr>
        <w:t>.活动过程中可能会影响到场地的整洁。</w:t>
      </w:r>
    </w:p>
    <w:p>
      <w:pPr>
        <w:pStyle w:val="5"/>
        <w:numPr>
          <w:ilvl w:val="0"/>
          <w:numId w:val="1"/>
        </w:numPr>
        <w:spacing w:before="156" w:beforeLines="50" w:after="156" w:afterLines="50" w:line="560" w:lineRule="exact"/>
      </w:pPr>
      <w:bookmarkStart w:id="14" w:name="_Toc115902576"/>
      <w:r>
        <w:rPr>
          <w:rFonts w:hint="eastAsia"/>
        </w:rPr>
        <w:t>活动风险解决方案</w:t>
      </w:r>
      <w:bookmarkEnd w:id="14"/>
    </w:p>
    <w:p>
      <w:pPr>
        <w:spacing w:line="560" w:lineRule="exact"/>
        <w:ind w:firstLine="480" w:firstLineChars="200"/>
        <w:jc w:val="left"/>
        <w:rPr>
          <w:sz w:val="24"/>
          <w:szCs w:val="24"/>
        </w:rPr>
      </w:pPr>
      <w:r>
        <w:rPr>
          <w:sz w:val="24"/>
          <w:szCs w:val="24"/>
        </w:rPr>
        <w:t>1.</w:t>
      </w:r>
      <w:r>
        <w:rPr>
          <w:rFonts w:hint="eastAsia"/>
          <w:sz w:val="24"/>
          <w:szCs w:val="24"/>
        </w:rPr>
        <w:t>所有人员现场听取负责人调度；</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各部门提前部署活动现场，与对方负责人联系，完善活动流程。</w:t>
      </w:r>
    </w:p>
    <w:p>
      <w:pPr>
        <w:pStyle w:val="5"/>
        <w:numPr>
          <w:ilvl w:val="0"/>
          <w:numId w:val="1"/>
        </w:numPr>
        <w:spacing w:before="156" w:beforeLines="50" w:after="156" w:afterLines="50" w:line="560" w:lineRule="exact"/>
      </w:pPr>
      <w:bookmarkStart w:id="15" w:name="_Toc115902577"/>
      <w:r>
        <w:rPr>
          <w:rFonts w:hint="eastAsia"/>
        </w:rPr>
        <w:t>活动人员安排</w:t>
      </w:r>
      <w:bookmarkEnd w:id="15"/>
    </w:p>
    <w:tbl>
      <w:tblPr>
        <w:tblStyle w:val="7"/>
        <w:tblW w:w="8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6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2045" w:type="dxa"/>
            <w:vAlign w:val="center"/>
          </w:tcPr>
          <w:p>
            <w:pPr>
              <w:spacing w:before="156" w:beforeLines="50" w:line="560" w:lineRule="exact"/>
              <w:jc w:val="center"/>
              <w:rPr>
                <w:rFonts w:ascii="黑体" w:hAnsi="黑体" w:eastAsia="黑体"/>
                <w:b/>
                <w:bCs/>
                <w:szCs w:val="28"/>
              </w:rPr>
            </w:pPr>
            <w:r>
              <w:rPr>
                <w:rFonts w:hint="eastAsia" w:ascii="黑体" w:hAnsi="黑体" w:eastAsia="黑体"/>
                <w:b/>
                <w:bCs/>
                <w:szCs w:val="28"/>
              </w:rPr>
              <w:t>负责部门</w:t>
            </w:r>
          </w:p>
        </w:tc>
        <w:tc>
          <w:tcPr>
            <w:tcW w:w="6234" w:type="dxa"/>
            <w:vAlign w:val="center"/>
          </w:tcPr>
          <w:p>
            <w:pPr>
              <w:spacing w:before="156" w:beforeLines="50" w:line="560" w:lineRule="exact"/>
              <w:jc w:val="center"/>
              <w:rPr>
                <w:rFonts w:ascii="黑体" w:hAnsi="黑体" w:eastAsia="黑体"/>
                <w:b/>
                <w:bCs/>
                <w:szCs w:val="28"/>
              </w:rPr>
            </w:pPr>
            <w:r>
              <w:rPr>
                <w:rFonts w:hint="eastAsia" w:ascii="黑体" w:hAnsi="黑体" w:eastAsia="黑体"/>
                <w:b/>
                <w:bCs/>
                <w:szCs w:val="28"/>
              </w:rPr>
              <w:t>负责事项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4"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w:t>
            </w:r>
          </w:p>
          <w:p>
            <w:pPr>
              <w:spacing w:before="156" w:beforeLines="50" w:line="560" w:lineRule="exact"/>
              <w:jc w:val="center"/>
              <w:rPr>
                <w:rFonts w:asciiTheme="minorEastAsia" w:hAnsiTheme="minorEastAsia"/>
                <w:szCs w:val="28"/>
              </w:rPr>
            </w:pPr>
            <w:r>
              <w:rPr>
                <w:rFonts w:hint="eastAsia" w:asciiTheme="minorEastAsia" w:hAnsiTheme="minorEastAsia"/>
                <w:szCs w:val="28"/>
              </w:rPr>
              <w:t>新闻中心</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新闻稿书写及官方推送推广宣传活动。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2"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药学院团委</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负责策划书及义卖环节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6"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博爱社</w:t>
            </w:r>
          </w:p>
          <w:p>
            <w:pPr>
              <w:spacing w:before="156" w:beforeLines="50" w:line="560" w:lineRule="exact"/>
              <w:jc w:val="center"/>
              <w:rPr>
                <w:rFonts w:asciiTheme="minorEastAsia" w:hAnsiTheme="minorEastAsia"/>
                <w:szCs w:val="28"/>
              </w:rPr>
            </w:pPr>
            <w:r>
              <w:rPr>
                <w:rFonts w:hint="eastAsia" w:asciiTheme="minorEastAsia" w:hAnsiTheme="minorEastAsia"/>
                <w:szCs w:val="28"/>
              </w:rPr>
              <w:t>药学院分会</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负责义卖物品的整理和和校外社区的对接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jc w:val="center"/>
        </w:trPr>
        <w:tc>
          <w:tcPr>
            <w:tcW w:w="2045"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药学院学生会</w:t>
            </w:r>
          </w:p>
        </w:tc>
        <w:tc>
          <w:tcPr>
            <w:tcW w:w="6234" w:type="dxa"/>
            <w:vAlign w:val="center"/>
          </w:tcPr>
          <w:p>
            <w:pPr>
              <w:spacing w:before="156" w:beforeLines="50" w:line="560" w:lineRule="exact"/>
              <w:jc w:val="center"/>
              <w:rPr>
                <w:rFonts w:asciiTheme="minorEastAsia" w:hAnsiTheme="minorEastAsia"/>
                <w:szCs w:val="28"/>
              </w:rPr>
            </w:pPr>
            <w:r>
              <w:rPr>
                <w:rFonts w:hint="eastAsia" w:asciiTheme="minorEastAsia" w:hAnsiTheme="minorEastAsia"/>
                <w:szCs w:val="28"/>
              </w:rPr>
              <w:t>负责制作义卖主题相关的小游戏</w:t>
            </w:r>
          </w:p>
        </w:tc>
      </w:tr>
    </w:tbl>
    <w:p>
      <w:pPr>
        <w:pStyle w:val="5"/>
        <w:numPr>
          <w:ilvl w:val="0"/>
          <w:numId w:val="1"/>
        </w:numPr>
        <w:spacing w:before="156" w:beforeLines="50" w:after="156" w:afterLines="50" w:line="560" w:lineRule="exact"/>
      </w:pPr>
      <w:bookmarkStart w:id="16" w:name="_Toc115902578"/>
      <w:r>
        <w:rPr>
          <w:rFonts w:hint="eastAsia"/>
        </w:rPr>
        <w:t>活动预期效果</w:t>
      </w:r>
      <w:bookmarkEnd w:id="16"/>
    </w:p>
    <w:p>
      <w:pPr>
        <w:spacing w:line="560" w:lineRule="exact"/>
        <w:ind w:firstLine="480" w:firstLineChars="200"/>
        <w:jc w:val="left"/>
        <w:rPr>
          <w:sz w:val="24"/>
          <w:szCs w:val="24"/>
        </w:rPr>
      </w:pPr>
      <w:r>
        <w:rPr>
          <w:rFonts w:hint="eastAsia"/>
          <w:sz w:val="24"/>
          <w:szCs w:val="24"/>
        </w:rPr>
        <w:t>1</w:t>
      </w:r>
      <w:r>
        <w:rPr>
          <w:sz w:val="24"/>
          <w:szCs w:val="24"/>
        </w:rPr>
        <w:t>.</w:t>
      </w:r>
      <w:r>
        <w:rPr>
          <w:rFonts w:hint="eastAsia"/>
          <w:sz w:val="24"/>
          <w:szCs w:val="24"/>
        </w:rPr>
        <w:t>志愿活动顺利开展；</w:t>
      </w:r>
    </w:p>
    <w:p>
      <w:pPr>
        <w:spacing w:line="560" w:lineRule="exact"/>
        <w:ind w:firstLine="480" w:firstLineChars="200"/>
        <w:jc w:val="left"/>
        <w:rPr>
          <w:sz w:val="24"/>
          <w:szCs w:val="24"/>
        </w:rPr>
      </w:pPr>
      <w:r>
        <w:rPr>
          <w:rFonts w:hint="eastAsia"/>
          <w:sz w:val="24"/>
          <w:szCs w:val="24"/>
        </w:rPr>
        <w:t>2</w:t>
      </w:r>
      <w:r>
        <w:rPr>
          <w:sz w:val="24"/>
          <w:szCs w:val="24"/>
        </w:rPr>
        <w:t>.</w:t>
      </w:r>
      <w:r>
        <w:rPr>
          <w:rFonts w:hint="eastAsia"/>
          <w:sz w:val="24"/>
          <w:szCs w:val="24"/>
        </w:rPr>
        <w:t>活动成果完整转化，推送至全校范围。</w:t>
      </w:r>
    </w:p>
    <w:p>
      <w:pPr>
        <w:pStyle w:val="5"/>
        <w:numPr>
          <w:ilvl w:val="0"/>
          <w:numId w:val="1"/>
        </w:numPr>
        <w:spacing w:before="156" w:beforeLines="50" w:after="156" w:afterLines="50" w:line="560" w:lineRule="exact"/>
      </w:pPr>
      <w:bookmarkStart w:id="17" w:name="_Toc115902579"/>
      <w:r>
        <w:rPr>
          <w:rFonts w:hint="eastAsia"/>
        </w:rPr>
        <w:t>经费预算</w:t>
      </w:r>
      <w:bookmarkEnd w:id="17"/>
    </w:p>
    <w:tbl>
      <w:tblPr>
        <w:tblStyle w:val="6"/>
        <w:tblW w:w="5000" w:type="pct"/>
        <w:tblInd w:w="0" w:type="dxa"/>
        <w:tblLayout w:type="autofit"/>
        <w:tblCellMar>
          <w:top w:w="0" w:type="dxa"/>
          <w:left w:w="108" w:type="dxa"/>
          <w:bottom w:w="0" w:type="dxa"/>
          <w:right w:w="108" w:type="dxa"/>
        </w:tblCellMar>
      </w:tblPr>
      <w:tblGrid>
        <w:gridCol w:w="957"/>
        <w:gridCol w:w="2342"/>
        <w:gridCol w:w="958"/>
        <w:gridCol w:w="958"/>
        <w:gridCol w:w="1650"/>
        <w:gridCol w:w="1657"/>
      </w:tblGrid>
      <w:tr>
        <w:trPr>
          <w:trHeight w:val="23"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Cs w:val="28"/>
              </w:rPr>
            </w:pPr>
            <w:r>
              <w:rPr>
                <w:rFonts w:hint="eastAsia" w:ascii="宋体" w:hAnsi="宋体" w:cs="宋体"/>
                <w:b/>
                <w:bCs/>
                <w:color w:val="000000"/>
                <w:kern w:val="0"/>
                <w:szCs w:val="28"/>
                <w:lang w:bidi="ar"/>
              </w:rPr>
              <w:t>5.23残疾人之家义卖清单</w:t>
            </w: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序号</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名称</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价格</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数量</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出售数量</w:t>
            </w: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剩余数量</w:t>
            </w: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帆布包小包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帆布包中包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10</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帆布包大包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30</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2</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4</w:t>
            </w:r>
          </w:p>
        </w:tc>
        <w:tc>
          <w:tcPr>
            <w:tcW w:w="1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帆布包特大包</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35</w:t>
            </w:r>
          </w:p>
        </w:tc>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1</w:t>
            </w:r>
          </w:p>
        </w:tc>
        <w:tc>
          <w:tcPr>
            <w:tcW w:w="9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c>
          <w:tcPr>
            <w:tcW w:w="9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Cs w:val="28"/>
              </w:rPr>
            </w:pPr>
          </w:p>
        </w:tc>
      </w:tr>
      <w:tr>
        <w:trPr>
          <w:trHeight w:val="23" w:hRule="atLeast"/>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Cs w:val="28"/>
              </w:rPr>
            </w:pPr>
            <w:r>
              <w:rPr>
                <w:rFonts w:hint="eastAsia" w:ascii="宋体" w:hAnsi="宋体" w:cs="宋体"/>
                <w:color w:val="000000"/>
                <w:kern w:val="0"/>
                <w:szCs w:val="28"/>
                <w:lang w:bidi="ar"/>
              </w:rPr>
              <w:t>备注</w:t>
            </w:r>
          </w:p>
        </w:tc>
        <w:tc>
          <w:tcPr>
            <w:tcW w:w="4438"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Cs w:val="28"/>
              </w:rPr>
            </w:pPr>
            <w:r>
              <w:rPr>
                <w:rFonts w:hint="eastAsia" w:ascii="宋体" w:hAnsi="宋体" w:cs="宋体"/>
                <w:color w:val="000000"/>
                <w:kern w:val="0"/>
                <w:szCs w:val="28"/>
                <w:lang w:bidi="ar"/>
              </w:rPr>
              <w:t>所有物品价格在3元以内变动</w:t>
            </w:r>
          </w:p>
        </w:tc>
      </w:tr>
    </w:tbl>
    <w:p>
      <w:pPr>
        <w:pStyle w:val="5"/>
        <w:numPr>
          <w:ilvl w:val="0"/>
          <w:numId w:val="1"/>
        </w:numPr>
        <w:spacing w:before="156" w:beforeLines="50" w:after="156" w:afterLines="50" w:line="560" w:lineRule="exact"/>
      </w:pPr>
      <w:bookmarkStart w:id="18" w:name="_Toc115902580"/>
      <w:r>
        <w:rPr>
          <w:rFonts w:hint="eastAsia"/>
        </w:rPr>
        <w:t>日程安排</w:t>
      </w:r>
      <w:bookmarkEnd w:id="18"/>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0</w:t>
            </w:r>
            <w:r>
              <w:rPr>
                <w:rFonts w:hint="eastAsia" w:ascii="宋体" w:hAnsi="宋体" w:cstheme="majorBidi"/>
              </w:rPr>
              <w:t>日——</w:t>
            </w:r>
            <w:r>
              <w:rPr>
                <w:rFonts w:ascii="宋体" w:hAnsi="宋体" w:cstheme="majorBidi"/>
              </w:rPr>
              <w:t>5</w:t>
            </w:r>
            <w:r>
              <w:rPr>
                <w:rFonts w:hint="eastAsia" w:ascii="宋体" w:hAnsi="宋体" w:cstheme="majorBidi"/>
              </w:rPr>
              <w:t>月2</w:t>
            </w:r>
            <w:r>
              <w:rPr>
                <w:rFonts w:ascii="宋体" w:hAnsi="宋体" w:cstheme="majorBidi"/>
              </w:rPr>
              <w:t>2</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前期准备</w:t>
            </w:r>
          </w:p>
        </w:tc>
      </w:tr>
      <w:tr>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3</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义卖活动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4</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物资清点</w:t>
            </w:r>
          </w:p>
        </w:tc>
      </w:tr>
      <w:tr>
        <w:tc>
          <w:tcPr>
            <w:tcW w:w="4148" w:type="dxa"/>
            <w:vAlign w:val="center"/>
          </w:tcPr>
          <w:p>
            <w:pPr>
              <w:jc w:val="center"/>
              <w:rPr>
                <w:rFonts w:ascii="宋体" w:hAnsi="宋体" w:cstheme="majorBidi"/>
              </w:rPr>
            </w:pPr>
            <w:r>
              <w:rPr>
                <w:rFonts w:hint="eastAsia" w:ascii="宋体" w:hAnsi="宋体" w:cstheme="majorBidi"/>
              </w:rPr>
              <w:t>5月2</w:t>
            </w:r>
            <w:r>
              <w:rPr>
                <w:rFonts w:ascii="宋体" w:hAnsi="宋体" w:cstheme="majorBidi"/>
              </w:rPr>
              <w:t>5</w:t>
            </w:r>
            <w:r>
              <w:rPr>
                <w:rFonts w:hint="eastAsia" w:ascii="宋体" w:hAnsi="宋体" w:cstheme="majorBidi"/>
              </w:rPr>
              <w:t>日——</w:t>
            </w:r>
            <w:r>
              <w:rPr>
                <w:rFonts w:ascii="宋体" w:hAnsi="宋体" w:cstheme="majorBidi"/>
              </w:rPr>
              <w:t>5</w:t>
            </w:r>
            <w:r>
              <w:rPr>
                <w:rFonts w:hint="eastAsia" w:ascii="宋体" w:hAnsi="宋体" w:cstheme="majorBidi"/>
              </w:rPr>
              <w:t>月2</w:t>
            </w:r>
            <w:r>
              <w:rPr>
                <w:rFonts w:ascii="宋体" w:hAnsi="宋体" w:cstheme="majorBidi"/>
              </w:rPr>
              <w:t>6</w:t>
            </w:r>
            <w:r>
              <w:rPr>
                <w:rFonts w:hint="eastAsia" w:ascii="宋体" w:hAnsi="宋体" w:cstheme="majorBidi"/>
              </w:rPr>
              <w:t>日</w:t>
            </w:r>
          </w:p>
        </w:tc>
        <w:tc>
          <w:tcPr>
            <w:tcW w:w="4148" w:type="dxa"/>
            <w:vAlign w:val="center"/>
          </w:tcPr>
          <w:p>
            <w:pPr>
              <w:jc w:val="center"/>
              <w:rPr>
                <w:rFonts w:ascii="宋体" w:hAnsi="宋体" w:cstheme="majorBidi"/>
              </w:rPr>
            </w:pPr>
            <w:r>
              <w:rPr>
                <w:rFonts w:hint="eastAsia" w:ascii="宋体" w:hAnsi="宋体" w:cstheme="majorBidi"/>
              </w:rPr>
              <w:t>后期总结</w:t>
            </w:r>
          </w:p>
        </w:tc>
      </w:tr>
    </w:tbl>
    <w:p>
      <w:pPr>
        <w:rPr>
          <w:rFonts w:ascii="宋体" w:hAnsi="宋体" w:cstheme="majorBidi"/>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等线">
    <w:altName w:val="汉仪中等线KW"/>
    <w:panose1 w:val="02010600030101010101"/>
    <w:charset w:val="86"/>
    <w:family w:val="auto"/>
    <w:pitch w:val="default"/>
    <w:sig w:usb0="00000000" w:usb1="00000000" w:usb2="00000016" w:usb3="00000000" w:csb0="0004000F" w:csb1="00000000"/>
  </w:font>
  <w:font w:name="汉仪中等线KW">
    <w:panose1 w:val="0101010401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等线 Light">
    <w:altName w:val="汉仪中等线KW"/>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0" w:usb1="00000000" w:usb2="00000000" w:usb3="00000000" w:csb0="00160000" w:csb1="00000000"/>
  </w:font>
  <w:font w:name="等线">
    <w:altName w:val="汉仪中等线KW"/>
    <w:panose1 w:val="00000000000000000000"/>
    <w:charset w:val="00"/>
    <w:family w:val="auto"/>
    <w:pitch w:val="default"/>
    <w:sig w:usb0="00000000" w:usb1="00000000" w:usb2="00000000" w:usb3="00000000" w:csb0="00000000" w:csb1="00000000"/>
  </w:font>
  <w:font w:name="冬青黑体简体中文">
    <w:panose1 w:val="020B0300000000000000"/>
    <w:charset w:val="86"/>
    <w:family w:val="auto"/>
    <w:pitch w:val="default"/>
    <w:sig w:usb0="00000000" w:usb1="00000000" w:usb2="00000000" w:usb3="00000000" w:csb0="00160000" w:csb1="00000000"/>
  </w:font>
  <w:font w:name="等线 Light">
    <w:altName w:val="汉仪中等线KW"/>
    <w:panose1 w:val="00000000000000000000"/>
    <w:charset w:val="00"/>
    <w:family w:val="auto"/>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3555087"/>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cs="方正仿宋_GBK"/>
        <w:b/>
        <w:bCs/>
        <w:sz w:val="21"/>
        <w:szCs w:val="21"/>
      </w:rPr>
    </w:pPr>
    <w:r>
      <w:rPr>
        <w:rFonts w:hint="eastAsia" w:ascii="宋体" w:hAnsi="宋体" w:cs="方正仿宋_GBK"/>
        <w:sz w:val="21"/>
        <w:szCs w:val="21"/>
      </w:rPr>
      <w:t>杏林学子筑爱助残，青春助力益路同行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D18758"/>
    <w:multiLevelType w:val="singleLevel"/>
    <w:tmpl w:val="ACD1875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9F1"/>
    <w:rsid w:val="00007797"/>
    <w:rsid w:val="00047728"/>
    <w:rsid w:val="001129F1"/>
    <w:rsid w:val="00115592"/>
    <w:rsid w:val="00196ECF"/>
    <w:rsid w:val="00302166"/>
    <w:rsid w:val="00334B02"/>
    <w:rsid w:val="0038163B"/>
    <w:rsid w:val="004A1E20"/>
    <w:rsid w:val="00533B1B"/>
    <w:rsid w:val="00535D4A"/>
    <w:rsid w:val="00672932"/>
    <w:rsid w:val="006A7B74"/>
    <w:rsid w:val="006F43C2"/>
    <w:rsid w:val="006F6117"/>
    <w:rsid w:val="007C2DB4"/>
    <w:rsid w:val="009553B3"/>
    <w:rsid w:val="009C3C0F"/>
    <w:rsid w:val="00A20170"/>
    <w:rsid w:val="00A2572E"/>
    <w:rsid w:val="00A72960"/>
    <w:rsid w:val="00AC4ED2"/>
    <w:rsid w:val="00AD73F5"/>
    <w:rsid w:val="00B16F55"/>
    <w:rsid w:val="00B47CF6"/>
    <w:rsid w:val="00C65B33"/>
    <w:rsid w:val="00CA297C"/>
    <w:rsid w:val="00CF0E3C"/>
    <w:rsid w:val="00DA5857"/>
    <w:rsid w:val="00E60A2D"/>
    <w:rsid w:val="00EA1CE3"/>
    <w:rsid w:val="00EF2463"/>
    <w:rsid w:val="07E70755"/>
    <w:rsid w:val="296307D0"/>
    <w:rsid w:val="343B226B"/>
    <w:rsid w:val="39106B3C"/>
    <w:rsid w:val="41F015EC"/>
    <w:rsid w:val="616D25AE"/>
    <w:rsid w:val="6BFF2145"/>
    <w:rsid w:val="75114BB7"/>
    <w:rsid w:val="7E8B6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8"/>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pPr>
      <w:tabs>
        <w:tab w:val="left" w:pos="840"/>
        <w:tab w:val="right" w:leader="dot" w:pos="8296"/>
      </w:tabs>
      <w:jc w:val="center"/>
    </w:pPr>
    <w:rPr>
      <w:rFonts w:ascii="黑体" w:hAnsi="黑体" w:eastAsia="黑体"/>
      <w:sz w:val="52"/>
      <w:szCs w:val="52"/>
    </w:rPr>
  </w:style>
  <w:style w:type="paragraph" w:styleId="5">
    <w:name w:val="Title"/>
    <w:basedOn w:val="1"/>
    <w:next w:val="1"/>
    <w:link w:val="10"/>
    <w:qFormat/>
    <w:uiPriority w:val="10"/>
    <w:pPr>
      <w:spacing w:before="240" w:after="60"/>
      <w:jc w:val="left"/>
      <w:outlineLvl w:val="0"/>
    </w:pPr>
    <w:rPr>
      <w:rFonts w:asciiTheme="majorHAnsi" w:hAnsiTheme="majorHAnsi"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character" w:customStyle="1" w:styleId="10">
    <w:name w:val="标题 字符"/>
    <w:basedOn w:val="8"/>
    <w:link w:val="5"/>
    <w:qFormat/>
    <w:uiPriority w:val="10"/>
    <w:rPr>
      <w:rFonts w:eastAsia="宋体" w:asciiTheme="majorHAnsi" w:hAnsiTheme="majorHAnsi" w:cstheme="majorBidi"/>
      <w:b/>
      <w:bCs/>
      <w:sz w:val="32"/>
      <w:szCs w:val="32"/>
    </w:rPr>
  </w:style>
  <w:style w:type="character" w:customStyle="1" w:styleId="11">
    <w:name w:val="页脚 字符"/>
    <w:basedOn w:val="8"/>
    <w:link w:val="2"/>
    <w:qFormat/>
    <w:uiPriority w:val="99"/>
    <w:rPr>
      <w:rFonts w:eastAsia="宋体"/>
      <w:sz w:val="18"/>
      <w:szCs w:val="18"/>
    </w:rPr>
  </w:style>
  <w:style w:type="character" w:customStyle="1" w:styleId="12">
    <w:name w:val="页眉 字符"/>
    <w:basedOn w:val="8"/>
    <w:link w:val="3"/>
    <w:qFormat/>
    <w:uiPriority w:val="0"/>
    <w:rPr>
      <w:rFonts w:eastAsia="宋体"/>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491</Words>
  <Characters>2804</Characters>
  <Lines>23</Lines>
  <Paragraphs>6</Paragraphs>
  <TotalTime>0</TotalTime>
  <ScaleCrop>false</ScaleCrop>
  <LinksUpToDate>false</LinksUpToDate>
  <CharactersWithSpaces>3289</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2023-03-01T21:34:00Z</dcterms:created>
  <dc:creator>726514590@qq.com</dc:creator>
  <cp:lastModifiedBy>喵？！</cp:lastModifiedBy>
  <dcterms:modified xsi:type="dcterms:W3CDTF">2023-03-15T12:42:43Z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KSOSaveFontToCloudKey">
    <vt:lpwstr>756727777_cloud</vt:lpwstr>
  </property>
  <property fmtid="{D5CDD505-2E9C-101B-9397-08002B2CF9AE}" pid="4" name="ICV">
    <vt:lpwstr>609722E88A534706C34C1164067211F7_43</vt:lpwstr>
  </property>
</Properties>
</file>